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99" w:rsidRPr="005A53E1" w:rsidRDefault="00A03899" w:rsidP="008E0381">
      <w:pPr>
        <w:spacing w:line="240" w:lineRule="auto"/>
        <w:jc w:val="right"/>
        <w:rPr>
          <w:rFonts w:ascii="Century Gothic" w:hAnsi="Century Gothic"/>
        </w:rPr>
      </w:pPr>
    </w:p>
    <w:p w:rsidR="008E0381" w:rsidRPr="005A53E1" w:rsidRDefault="008E0381" w:rsidP="008E0381">
      <w:pPr>
        <w:pStyle w:val="NormalWeb"/>
        <w:rPr>
          <w:rFonts w:ascii="Century Gothic" w:hAnsi="Century Gothic"/>
          <w:sz w:val="20"/>
          <w:szCs w:val="20"/>
        </w:rPr>
        <w:sectPr w:rsidR="008E0381" w:rsidRPr="005A53E1" w:rsidSect="008E0381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A53E1" w:rsidRDefault="006B4213" w:rsidP="005A53E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53C87E1F" wp14:editId="4D9B4BC5">
            <wp:extent cx="41148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A53E1" w:rsidRPr="005A53E1">
        <w:rPr>
          <w:rFonts w:ascii="Century Gothic" w:hAnsi="Century Gothic"/>
        </w:rPr>
        <w:t xml:space="preserve"> </w:t>
      </w:r>
    </w:p>
    <w:p w:rsidR="005A53E1" w:rsidRPr="00F47C6C" w:rsidRDefault="005A53E1" w:rsidP="005A53E1">
      <w:pPr>
        <w:pStyle w:val="NormalWeb"/>
        <w:rPr>
          <w:rFonts w:ascii="Century Gothic" w:hAnsi="Century Gothic"/>
          <w:color w:val="6600FF"/>
        </w:rPr>
      </w:pPr>
      <w:r w:rsidRPr="00F47C6C">
        <w:rPr>
          <w:rFonts w:ascii="Century Gothic" w:hAnsi="Century Gothic"/>
          <w:color w:val="6600FF"/>
        </w:rPr>
        <w:t>88% polaznika je u prvom ili drugom mandatu</w:t>
      </w:r>
    </w:p>
    <w:p w:rsidR="006B4213" w:rsidRPr="005A53E1" w:rsidRDefault="006B4213" w:rsidP="005A53E1">
      <w:pPr>
        <w:pStyle w:val="NormalWeb"/>
        <w:rPr>
          <w:rFonts w:ascii="Century Gothic" w:hAnsi="Century Gothic"/>
          <w:sz w:val="20"/>
          <w:szCs w:val="20"/>
        </w:rPr>
      </w:pPr>
    </w:p>
    <w:p w:rsidR="006B4213" w:rsidRPr="005A53E1" w:rsidRDefault="006B4213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drawing>
          <wp:inline distT="0" distB="0" distL="0" distR="0" wp14:anchorId="59B69C9B" wp14:editId="4DA2D08E">
            <wp:extent cx="40386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3899" w:rsidRPr="005A53E1" w:rsidRDefault="00A03899" w:rsidP="002530F1">
      <w:pPr>
        <w:pStyle w:val="NormalWeb"/>
        <w:rPr>
          <w:rFonts w:ascii="Century Gothic" w:hAnsi="Century Gothic"/>
          <w:b/>
        </w:rPr>
      </w:pPr>
      <w:r w:rsidRPr="005A53E1">
        <w:rPr>
          <w:rFonts w:ascii="Century Gothic" w:hAnsi="Century Gothic"/>
          <w:b/>
        </w:rPr>
        <w:t>Nešto drugo (molimo, navedite što):</w:t>
      </w:r>
    </w:p>
    <w:p w:rsidR="00A03899" w:rsidRPr="005A53E1" w:rsidRDefault="00A03899" w:rsidP="006A0A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Poznajem engleski na razini C1 i imam nešto iskustva u prevođenju s engleskog na hrvatski. Francuski poznajem na razini A2/B1.</w:t>
      </w:r>
    </w:p>
    <w:p w:rsidR="00A03899" w:rsidRPr="005A53E1" w:rsidRDefault="00A03899" w:rsidP="006A0A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Imenovana sam tumačem za njemački jezik.</w:t>
      </w:r>
    </w:p>
    <w:p w:rsidR="00A03899" w:rsidRPr="005A53E1" w:rsidRDefault="00A03899" w:rsidP="006A0A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sudski tumač za njemački</w:t>
      </w:r>
    </w:p>
    <w:p w:rsidR="00A03899" w:rsidRPr="005A53E1" w:rsidRDefault="00A03899" w:rsidP="006A0A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Govorim ponešto francuskog, ali dosta loše.</w:t>
      </w:r>
    </w:p>
    <w:p w:rsidR="00A03899" w:rsidRPr="005A53E1" w:rsidRDefault="00A03899" w:rsidP="006A0ACD">
      <w:pPr>
        <w:pStyle w:val="NoSpacing"/>
        <w:numPr>
          <w:ilvl w:val="0"/>
          <w:numId w:val="2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Imenovan sam, ali zbog nedovoljnog iskustva želim raditi na svojim vještinama.</w:t>
      </w:r>
    </w:p>
    <w:p w:rsidR="000A5B62" w:rsidRDefault="00A03899" w:rsidP="000A5B62">
      <w:pPr>
        <w:pStyle w:val="NoSpacing"/>
        <w:numPr>
          <w:ilvl w:val="0"/>
          <w:numId w:val="2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 xml:space="preserve">Tumač sam za engleski i njemački jezik </w:t>
      </w:r>
    </w:p>
    <w:p w:rsidR="000A5B62" w:rsidRPr="000A5B62" w:rsidRDefault="000A5B62" w:rsidP="000A5B62">
      <w:pPr>
        <w:pStyle w:val="NoSpacing"/>
        <w:ind w:left="360"/>
        <w:rPr>
          <w:rFonts w:ascii="Century Gothic" w:hAnsi="Century Gothic"/>
          <w:sz w:val="20"/>
        </w:rPr>
      </w:pPr>
    </w:p>
    <w:p w:rsidR="000A5B62" w:rsidRPr="000A5B62" w:rsidRDefault="000A5B62" w:rsidP="000A5B6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6600FF"/>
          <w:sz w:val="24"/>
          <w:szCs w:val="24"/>
        </w:rPr>
        <w:t>2/3 polaznika su tumači za engleski</w:t>
      </w:r>
    </w:p>
    <w:p w:rsidR="00E83DB6" w:rsidRDefault="00E83DB6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lastRenderedPageBreak/>
        <w:drawing>
          <wp:inline distT="0" distB="0" distL="0" distR="0" wp14:anchorId="7A27C727" wp14:editId="63100EC3">
            <wp:extent cx="4133850" cy="32004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5B62" w:rsidRPr="00F47C6C" w:rsidRDefault="000A5B62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pravni i ekonomski tekstovi uvjerljivo vode po zastupljenosti u ovjerenim prijevodima</w:t>
      </w:r>
    </w:p>
    <w:p w:rsidR="000A5B62" w:rsidRPr="005A53E1" w:rsidRDefault="000A5B62" w:rsidP="002530F1">
      <w:pPr>
        <w:pStyle w:val="NormalWeb"/>
        <w:rPr>
          <w:rFonts w:ascii="Century Gothic" w:hAnsi="Century Gothic"/>
        </w:rPr>
      </w:pPr>
    </w:p>
    <w:p w:rsidR="008E7795" w:rsidRDefault="008E7795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drawing>
          <wp:inline distT="0" distB="0" distL="0" distR="0" wp14:anchorId="7A1348BF" wp14:editId="50DAB588">
            <wp:extent cx="4105275" cy="32004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5B62" w:rsidRDefault="000A5B62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pravni termini najpoznatije su područje:</w:t>
      </w:r>
    </w:p>
    <w:p w:rsidR="000A5B62" w:rsidRDefault="000A5B62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ekonomski termini nisu zastupljeni koliko bi se očekivalo i dijeli tek 4. i 5. mjesto</w:t>
      </w:r>
    </w:p>
    <w:p w:rsidR="000A5B62" w:rsidRPr="00F47C6C" w:rsidRDefault="000A5B62" w:rsidP="000A5B62">
      <w:pPr>
        <w:pStyle w:val="NormalWeb"/>
        <w:numPr>
          <w:ilvl w:val="0"/>
          <w:numId w:val="4"/>
        </w:numPr>
        <w:rPr>
          <w:rFonts w:ascii="Century Gothic" w:hAnsi="Century Gothic"/>
          <w:color w:val="6600FF"/>
        </w:rPr>
      </w:pPr>
      <w:r w:rsidRPr="000A5B62">
        <w:rPr>
          <w:rFonts w:ascii="Century Gothic" w:hAnsi="Century Gothic"/>
          <w:color w:val="6600FF"/>
          <w:u w:val="single"/>
        </w:rPr>
        <w:t xml:space="preserve">ekonomski pojmovi za </w:t>
      </w:r>
      <w:proofErr w:type="spellStart"/>
      <w:r w:rsidRPr="000A5B62">
        <w:rPr>
          <w:rFonts w:ascii="Century Gothic" w:hAnsi="Century Gothic"/>
          <w:color w:val="6600FF"/>
          <w:u w:val="single"/>
        </w:rPr>
        <w:t>neeko</w:t>
      </w:r>
      <w:r>
        <w:rPr>
          <w:rFonts w:ascii="Century Gothic" w:hAnsi="Century Gothic"/>
          <w:color w:val="6600FF"/>
          <w:u w:val="single"/>
        </w:rPr>
        <w:t>n</w:t>
      </w:r>
      <w:r w:rsidRPr="000A5B62">
        <w:rPr>
          <w:rFonts w:ascii="Century Gothic" w:hAnsi="Century Gothic"/>
          <w:color w:val="6600FF"/>
          <w:u w:val="single"/>
        </w:rPr>
        <w:t>omiste</w:t>
      </w:r>
      <w:proofErr w:type="spellEnd"/>
      <w:r>
        <w:rPr>
          <w:rFonts w:ascii="Century Gothic" w:hAnsi="Century Gothic"/>
          <w:color w:val="6600FF"/>
        </w:rPr>
        <w:t>?</w:t>
      </w:r>
    </w:p>
    <w:p w:rsidR="000A5B62" w:rsidRPr="005A53E1" w:rsidRDefault="000A5B62" w:rsidP="002530F1">
      <w:pPr>
        <w:pStyle w:val="NormalWeb"/>
        <w:rPr>
          <w:rFonts w:ascii="Century Gothic" w:hAnsi="Century Gothic"/>
        </w:rPr>
      </w:pPr>
    </w:p>
    <w:p w:rsidR="008E7795" w:rsidRPr="005A53E1" w:rsidRDefault="008E7795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drawing>
          <wp:inline distT="0" distB="0" distL="0" distR="0" wp14:anchorId="7172FCD8" wp14:editId="635ACD86">
            <wp:extent cx="4105275" cy="3200400"/>
            <wp:effectExtent l="0" t="0" r="9525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5B62" w:rsidRDefault="000A5B62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20% polaznika nije odgovorilo na ovo pitanje;</w:t>
      </w:r>
    </w:p>
    <w:p w:rsidR="000A5B62" w:rsidRPr="00F47C6C" w:rsidRDefault="000A5B62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10% ih je doživjelo kritiku.</w:t>
      </w:r>
    </w:p>
    <w:p w:rsidR="00A03899" w:rsidRPr="005A53E1" w:rsidRDefault="00A03899" w:rsidP="002530F1">
      <w:pPr>
        <w:pStyle w:val="NormalWeb"/>
        <w:rPr>
          <w:rFonts w:ascii="Century Gothic" w:hAnsi="Century Gothic"/>
        </w:rPr>
      </w:pPr>
    </w:p>
    <w:p w:rsidR="008E7795" w:rsidRDefault="00FF0D9A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drawing>
          <wp:inline distT="0" distB="0" distL="0" distR="0" wp14:anchorId="2D8B6C9E" wp14:editId="58D2A231">
            <wp:extent cx="4124325" cy="3200400"/>
            <wp:effectExtent l="0" t="0" r="9525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5B62" w:rsidRDefault="00920568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ENGLESKI svi poznaju zadovoljavajuće ili odlično;</w:t>
      </w:r>
    </w:p>
    <w:p w:rsidR="00920568" w:rsidRDefault="00920568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FRANCUSKI svi poznaju slabo ili zadovoljavajuće;</w:t>
      </w:r>
    </w:p>
    <w:p w:rsidR="00920568" w:rsidRDefault="00920568" w:rsidP="000A5B62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HRVATSKI velika većina poznaje odlično.</w:t>
      </w:r>
    </w:p>
    <w:p w:rsidR="000A5B62" w:rsidRPr="005A53E1" w:rsidRDefault="000A5B62" w:rsidP="002530F1">
      <w:pPr>
        <w:pStyle w:val="NormalWeb"/>
        <w:rPr>
          <w:rFonts w:ascii="Century Gothic" w:hAnsi="Century Gothic"/>
        </w:rPr>
      </w:pPr>
    </w:p>
    <w:p w:rsidR="00FF0D9A" w:rsidRPr="005A53E1" w:rsidRDefault="00FF0D9A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drawing>
          <wp:inline distT="0" distB="0" distL="0" distR="0" wp14:anchorId="23A525DE" wp14:editId="11AA76FD">
            <wp:extent cx="4114800" cy="32004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42AD" w:rsidRDefault="00C042AD" w:rsidP="00C042AD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Sljedeći vikend (18-19) vodi po interesu;</w:t>
      </w:r>
    </w:p>
    <w:p w:rsidR="00C042AD" w:rsidRDefault="00C042AD" w:rsidP="00C042AD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Vikend za tri tjedna (28-29) je 30% manje popularan;</w:t>
      </w:r>
    </w:p>
    <w:p w:rsidR="00C042AD" w:rsidRDefault="00C042AD" w:rsidP="00C042AD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Lipanj ili kasnije nije zahvaćen procjenama.</w:t>
      </w:r>
    </w:p>
    <w:p w:rsidR="00C042AD" w:rsidRPr="00F47C6C" w:rsidRDefault="00C042AD" w:rsidP="00C042AD">
      <w:pPr>
        <w:pStyle w:val="NormalWeb"/>
        <w:numPr>
          <w:ilvl w:val="0"/>
          <w:numId w:val="4"/>
        </w:numPr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treba li radionice planirati samo mjesec dana unaprijed?</w:t>
      </w:r>
    </w:p>
    <w:p w:rsidR="00A03899" w:rsidRPr="005A53E1" w:rsidRDefault="00A03899" w:rsidP="002530F1">
      <w:pPr>
        <w:pStyle w:val="NormalWeb"/>
        <w:rPr>
          <w:rFonts w:ascii="Century Gothic" w:hAnsi="Century Gothic"/>
        </w:rPr>
      </w:pPr>
    </w:p>
    <w:p w:rsidR="00A741D9" w:rsidRPr="005A53E1" w:rsidRDefault="00A741D9" w:rsidP="002530F1">
      <w:pPr>
        <w:pStyle w:val="NormalWeb"/>
        <w:rPr>
          <w:rFonts w:ascii="Century Gothic" w:hAnsi="Century Gothic"/>
        </w:rPr>
      </w:pPr>
      <w:r w:rsidRPr="005A53E1">
        <w:rPr>
          <w:rFonts w:ascii="Century Gothic" w:hAnsi="Century Gothic"/>
          <w:noProof/>
        </w:rPr>
        <w:drawing>
          <wp:inline distT="0" distB="0" distL="0" distR="0" wp14:anchorId="53A38A5F" wp14:editId="44003CC6">
            <wp:extent cx="4076700" cy="320040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3899" w:rsidRPr="005A53E1" w:rsidRDefault="00A03899" w:rsidP="002530F1">
      <w:pPr>
        <w:pStyle w:val="NormalWeb"/>
        <w:rPr>
          <w:rFonts w:ascii="Century Gothic" w:hAnsi="Century Gothic"/>
          <w:b/>
        </w:rPr>
      </w:pPr>
      <w:r w:rsidRPr="005A53E1">
        <w:rPr>
          <w:rFonts w:ascii="Century Gothic" w:hAnsi="Century Gothic"/>
          <w:b/>
        </w:rPr>
        <w:t xml:space="preserve">Nešto drugo (molimo, navedite što): </w:t>
      </w:r>
    </w:p>
    <w:p w:rsidR="00A03899" w:rsidRPr="005A53E1" w:rsidRDefault="00A741D9" w:rsidP="006A0ACD">
      <w:pPr>
        <w:pStyle w:val="NoSpacing"/>
        <w:numPr>
          <w:ilvl w:val="0"/>
          <w:numId w:val="1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K</w:t>
      </w:r>
      <w:r w:rsidR="00A03899" w:rsidRPr="005A53E1">
        <w:rPr>
          <w:rFonts w:ascii="Century Gothic" w:hAnsi="Century Gothic"/>
          <w:sz w:val="20"/>
        </w:rPr>
        <w:t>ako se boriti protiv korumpirane konkurencije</w:t>
      </w:r>
    </w:p>
    <w:p w:rsidR="00A03899" w:rsidRPr="005A53E1" w:rsidRDefault="00A03899" w:rsidP="006A0ACD">
      <w:pPr>
        <w:pStyle w:val="NoSpacing"/>
        <w:numPr>
          <w:ilvl w:val="0"/>
          <w:numId w:val="1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>Sve od gore navedenoga ili barem dvije stavke po izboru.</w:t>
      </w:r>
    </w:p>
    <w:p w:rsidR="008E0381" w:rsidRPr="00C042AD" w:rsidRDefault="00A03899" w:rsidP="00C042AD">
      <w:pPr>
        <w:pStyle w:val="NoSpacing"/>
        <w:numPr>
          <w:ilvl w:val="0"/>
          <w:numId w:val="1"/>
        </w:numPr>
        <w:rPr>
          <w:rFonts w:ascii="Century Gothic" w:hAnsi="Century Gothic"/>
          <w:sz w:val="20"/>
        </w:rPr>
      </w:pPr>
      <w:r w:rsidRPr="005A53E1">
        <w:rPr>
          <w:rFonts w:ascii="Century Gothic" w:hAnsi="Century Gothic"/>
          <w:sz w:val="20"/>
        </w:rPr>
        <w:t xml:space="preserve">Također i općenite pravne termine koji se koriste na sudskim raspravama </w:t>
      </w:r>
    </w:p>
    <w:p w:rsidR="00C042AD" w:rsidRPr="00F47C6C" w:rsidRDefault="00C042AD" w:rsidP="00C042AD">
      <w:pPr>
        <w:pStyle w:val="NormalWeb"/>
        <w:rPr>
          <w:rFonts w:ascii="Century Gothic" w:hAnsi="Century Gothic"/>
          <w:color w:val="6600FF"/>
        </w:rPr>
      </w:pPr>
      <w:r>
        <w:rPr>
          <w:rFonts w:ascii="Century Gothic" w:hAnsi="Century Gothic"/>
          <w:color w:val="6600FF"/>
        </w:rPr>
        <w:t>U skladu s nepoznavanje ekonomskih termina, vodeća tema je trgovačko pravo (1/3 odgovora), a slijedi ugovorno pravo (1/4) odgovora).</w:t>
      </w:r>
    </w:p>
    <w:p w:rsidR="00C042AD" w:rsidRPr="005A53E1" w:rsidRDefault="00C042AD">
      <w:pPr>
        <w:rPr>
          <w:rFonts w:ascii="Century Gothic" w:hAnsi="Century Gothic"/>
        </w:rPr>
        <w:sectPr w:rsidR="00C042AD" w:rsidRPr="005A53E1" w:rsidSect="008E0381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A03899" w:rsidRPr="00C12B36" w:rsidRDefault="002530F1" w:rsidP="00C12B36">
      <w:pPr>
        <w:rPr>
          <w:rFonts w:ascii="Century Gothic" w:eastAsia="Times New Roman" w:hAnsi="Century Gothic" w:cs="Times New Roman"/>
          <w:sz w:val="24"/>
          <w:szCs w:val="24"/>
          <w:lang w:eastAsia="hr-HR"/>
        </w:rPr>
      </w:pPr>
      <w:r w:rsidRPr="005A53E1">
        <w:rPr>
          <w:rFonts w:ascii="Century Gothic" w:hAnsi="Century Gothic"/>
        </w:rPr>
        <w:br w:type="page"/>
      </w:r>
      <w:bookmarkStart w:id="0" w:name="_GoBack"/>
      <w:bookmarkEnd w:id="0"/>
    </w:p>
    <w:sectPr w:rsidR="00A03899" w:rsidRPr="00C12B36" w:rsidSect="008E0381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DB" w:rsidRDefault="00CA6CDB" w:rsidP="008E0381">
      <w:pPr>
        <w:spacing w:after="0" w:line="240" w:lineRule="auto"/>
      </w:pPr>
      <w:r>
        <w:separator/>
      </w:r>
    </w:p>
  </w:endnote>
  <w:endnote w:type="continuationSeparator" w:id="0">
    <w:p w:rsidR="00CA6CDB" w:rsidRDefault="00CA6CDB" w:rsidP="008E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DB" w:rsidRDefault="00CA6CDB" w:rsidP="008E0381">
      <w:pPr>
        <w:spacing w:after="0" w:line="240" w:lineRule="auto"/>
      </w:pPr>
      <w:r>
        <w:separator/>
      </w:r>
    </w:p>
  </w:footnote>
  <w:footnote w:type="continuationSeparator" w:id="0">
    <w:p w:rsidR="00CA6CDB" w:rsidRDefault="00CA6CDB" w:rsidP="008E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81" w:rsidRDefault="008E0381" w:rsidP="008E0381">
    <w:pPr>
      <w:pStyle w:val="Header"/>
      <w:jc w:val="center"/>
    </w:pPr>
    <w:r>
      <w:rPr>
        <w:rFonts w:ascii="Century Gothic" w:hAnsi="Century Gothic"/>
        <w:b/>
      </w:rPr>
      <w:t>Anketa: 39/300 (13%) odgovora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BA0"/>
    <w:multiLevelType w:val="hybridMultilevel"/>
    <w:tmpl w:val="C3985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5B5"/>
    <w:multiLevelType w:val="hybridMultilevel"/>
    <w:tmpl w:val="4A786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C15"/>
    <w:multiLevelType w:val="hybridMultilevel"/>
    <w:tmpl w:val="1354F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1A16"/>
    <w:multiLevelType w:val="hybridMultilevel"/>
    <w:tmpl w:val="81EEF31A"/>
    <w:lvl w:ilvl="0" w:tplc="041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54"/>
    <w:rsid w:val="000A5B62"/>
    <w:rsid w:val="001F70F9"/>
    <w:rsid w:val="00202B54"/>
    <w:rsid w:val="00223971"/>
    <w:rsid w:val="00242B78"/>
    <w:rsid w:val="002530F1"/>
    <w:rsid w:val="00373A7B"/>
    <w:rsid w:val="00527E4A"/>
    <w:rsid w:val="005A53E1"/>
    <w:rsid w:val="006A0ACD"/>
    <w:rsid w:val="006B4213"/>
    <w:rsid w:val="008E0381"/>
    <w:rsid w:val="008E7795"/>
    <w:rsid w:val="00920568"/>
    <w:rsid w:val="00A03899"/>
    <w:rsid w:val="00A741D9"/>
    <w:rsid w:val="00AF53F1"/>
    <w:rsid w:val="00B14FF5"/>
    <w:rsid w:val="00BF07B9"/>
    <w:rsid w:val="00C042AD"/>
    <w:rsid w:val="00C12B36"/>
    <w:rsid w:val="00CA6CDB"/>
    <w:rsid w:val="00D02FB1"/>
    <w:rsid w:val="00DE5371"/>
    <w:rsid w:val="00E83DB6"/>
    <w:rsid w:val="00F47C6C"/>
    <w:rsid w:val="00FD1F87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81ED-005A-405C-925F-DD9AB0F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530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81"/>
  </w:style>
  <w:style w:type="paragraph" w:styleId="Footer">
    <w:name w:val="footer"/>
    <w:basedOn w:val="Normal"/>
    <w:link w:val="FooterChar"/>
    <w:uiPriority w:val="99"/>
    <w:unhideWhenUsed/>
    <w:rsid w:val="008E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Mandat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Mandat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List1!$A$2:$A$7</c:f>
              <c:strCache>
                <c:ptCount val="6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  <c:pt idx="4">
                  <c:v>5.</c:v>
                </c:pt>
                <c:pt idx="5">
                  <c:v>6.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17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Poznavanje jezika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Imenovani tumač (jezici)</c:v>
                </c:pt>
                <c:pt idx="1">
                  <c:v>Prevoditelj (jezici)</c:v>
                </c:pt>
                <c:pt idx="2">
                  <c:v>Ne govorim EN/FR</c:v>
                </c:pt>
                <c:pt idx="3">
                  <c:v>Nešto drugo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 formatCode="0.00%">
                  <c:v>0.62160000000000004</c:v>
                </c:pt>
                <c:pt idx="1">
                  <c:v>8.1100000000000005E-2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Imenovani tumač (jezici)</c:v>
                </c:pt>
                <c:pt idx="1">
                  <c:v>Prevoditelj (jezici)</c:v>
                </c:pt>
                <c:pt idx="2">
                  <c:v>Ne govorim EN/FR</c:v>
                </c:pt>
                <c:pt idx="3">
                  <c:v>Nešto drugo</c:v>
                </c:pt>
              </c:strCache>
            </c:strRef>
          </c:cat>
          <c:val>
            <c:numRef>
              <c:f>List1!$C$2:$C$5</c:f>
              <c:numCache>
                <c:formatCode>0.00%</c:formatCode>
                <c:ptCount val="4"/>
                <c:pt idx="0">
                  <c:v>0.16220000000000001</c:v>
                </c:pt>
                <c:pt idx="1">
                  <c:v>5.4100000000000002E-2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EN+FR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Imenovani tumač (jezici)</c:v>
                </c:pt>
                <c:pt idx="1">
                  <c:v>Prevoditelj (jezici)</c:v>
                </c:pt>
                <c:pt idx="2">
                  <c:v>Ne govorim EN/FR</c:v>
                </c:pt>
                <c:pt idx="3">
                  <c:v>Nešto drugo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 formatCode="0.00%">
                  <c:v>0.18920000000000001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HR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Imenovani tumač (jezici)</c:v>
                </c:pt>
                <c:pt idx="1">
                  <c:v>Prevoditelj (jezici)</c:v>
                </c:pt>
                <c:pt idx="2">
                  <c:v>Ne govorim EN/FR</c:v>
                </c:pt>
                <c:pt idx="3">
                  <c:v>Nešto drugo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2" formatCode="0.00%">
                  <c:v>2.7E-2</c:v>
                </c:pt>
                <c:pt idx="3" formatCode="0%">
                  <c:v>0.16220000000000001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717808"/>
        <c:axId val="403718200"/>
      </c:barChart>
      <c:catAx>
        <c:axId val="40371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3718200"/>
        <c:crosses val="autoZero"/>
        <c:auto val="1"/>
        <c:lblAlgn val="ctr"/>
        <c:lblOffset val="100"/>
        <c:noMultiLvlLbl val="0"/>
      </c:catAx>
      <c:valAx>
        <c:axId val="40371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371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Područja prijevoda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prema zastupljenosti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List1!$A$2:$A$12</c:f>
              <c:strCache>
                <c:ptCount val="11"/>
                <c:pt idx="0">
                  <c:v>pravo i uprava</c:v>
                </c:pt>
                <c:pt idx="1">
                  <c:v>porezi, poslovanje, financije</c:v>
                </c:pt>
                <c:pt idx="2">
                  <c:v>ekonomija, marketing, turizam</c:v>
                </c:pt>
                <c:pt idx="3">
                  <c:v>medicina, zdravstvo</c:v>
                </c:pt>
                <c:pt idx="4">
                  <c:v>arhitektura, građevinarstvo, energetika</c:v>
                </c:pt>
                <c:pt idx="5">
                  <c:v>odgoj, socijalno</c:v>
                </c:pt>
                <c:pt idx="6">
                  <c:v>elektrotehnika, računarstvo, strojarstvo</c:v>
                </c:pt>
                <c:pt idx="7">
                  <c:v>poljoprivreda, šumarstvo, prehrambeno</c:v>
                </c:pt>
                <c:pt idx="8">
                  <c:v>promet, zrakoplovstvo, brodarstvo</c:v>
                </c:pt>
                <c:pt idx="9">
                  <c:v>interdisciplinarno</c:v>
                </c:pt>
                <c:pt idx="10">
                  <c:v>umjetnost, dizajn</c:v>
                </c:pt>
              </c:strCache>
            </c:strRef>
          </c:cat>
          <c:val>
            <c:numRef>
              <c:f>List1!$B$2:$B$12</c:f>
              <c:numCache>
                <c:formatCode>0.00%</c:formatCode>
                <c:ptCount val="11"/>
                <c:pt idx="0">
                  <c:v>0.78790000000000004</c:v>
                </c:pt>
                <c:pt idx="1">
                  <c:v>0.60609999999999997</c:v>
                </c:pt>
                <c:pt idx="2">
                  <c:v>0.51519999999999999</c:v>
                </c:pt>
                <c:pt idx="3">
                  <c:v>0.33329999999999999</c:v>
                </c:pt>
                <c:pt idx="4">
                  <c:v>0.30299999999999999</c:v>
                </c:pt>
                <c:pt idx="5">
                  <c:v>0.21210000000000001</c:v>
                </c:pt>
                <c:pt idx="6">
                  <c:v>0.18179999999999999</c:v>
                </c:pt>
                <c:pt idx="7">
                  <c:v>0.18179999999999999</c:v>
                </c:pt>
                <c:pt idx="8">
                  <c:v>0.1515</c:v>
                </c:pt>
                <c:pt idx="9">
                  <c:v>0.1515</c:v>
                </c:pt>
                <c:pt idx="10">
                  <c:v>0.1212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718984"/>
        <c:axId val="403719376"/>
      </c:barChart>
      <c:catAx>
        <c:axId val="40371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3719376"/>
        <c:crosses val="autoZero"/>
        <c:auto val="1"/>
        <c:lblAlgn val="ctr"/>
        <c:lblOffset val="100"/>
        <c:noMultiLvlLbl val="0"/>
      </c:catAx>
      <c:valAx>
        <c:axId val="40371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3718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Područja specijalizacije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prema znanosti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Pravo</c:v>
                </c:pt>
                <c:pt idx="1">
                  <c:v>Humanistika, filologija</c:v>
                </c:pt>
                <c:pt idx="2">
                  <c:v>Tehničke</c:v>
                </c:pt>
                <c:pt idx="3">
                  <c:v>Ekonomija</c:v>
                </c:pt>
                <c:pt idx="4">
                  <c:v>Druge društvene</c:v>
                </c:pt>
                <c:pt idx="5">
                  <c:v>Prirodne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0.42420000000000002</c:v>
                </c:pt>
                <c:pt idx="1">
                  <c:v>0.1515</c:v>
                </c:pt>
                <c:pt idx="2">
                  <c:v>0.1515</c:v>
                </c:pt>
                <c:pt idx="3">
                  <c:v>0.1212</c:v>
                </c:pt>
                <c:pt idx="4">
                  <c:v>0.1212</c:v>
                </c:pt>
                <c:pt idx="5">
                  <c:v>3.0300000000000001E-2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1133528"/>
        <c:axId val="411133920"/>
      </c:barChart>
      <c:catAx>
        <c:axId val="411133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1133920"/>
        <c:crosses val="autoZero"/>
        <c:auto val="1"/>
        <c:lblAlgn val="ctr"/>
        <c:lblOffset val="100"/>
        <c:noMultiLvlLbl val="0"/>
      </c:catAx>
      <c:valAx>
        <c:axId val="41113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1133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Kritika</a:t>
            </a:r>
            <a:r>
              <a:rPr lang="hr-HR" b="1">
                <a:solidFill>
                  <a:sysClr val="windowText" lastClr="000000"/>
                </a:solidFill>
              </a:rPr>
              <a:t> klijenta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Kritika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List1!$A$2:$A$5</c:f>
              <c:strCache>
                <c:ptCount val="4"/>
                <c:pt idx="0">
                  <c:v>Da, negativna</c:v>
                </c:pt>
                <c:pt idx="1">
                  <c:v>Da, sugestija</c:v>
                </c:pt>
                <c:pt idx="2">
                  <c:v>Ne</c:v>
                </c:pt>
                <c:pt idx="3">
                  <c:v>(preskočen odgovor)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Poznavanje terminologije -</a:t>
            </a:r>
            <a:r>
              <a:rPr lang="hr-HR" b="1" baseline="0">
                <a:solidFill>
                  <a:sysClr val="windowText" lastClr="000000"/>
                </a:solidFill>
              </a:rPr>
              <a:t> samoprocjena</a:t>
            </a:r>
            <a:endParaRPr lang="hr-HR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slabo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EN</c:v>
                </c:pt>
                <c:pt idx="1">
                  <c:v>FR</c:v>
                </c:pt>
                <c:pt idx="2">
                  <c:v>HR</c:v>
                </c:pt>
              </c:strCache>
            </c:strRef>
          </c:cat>
          <c:val>
            <c:numRef>
              <c:f>List1!$B$2:$B$4</c:f>
              <c:numCache>
                <c:formatCode>0.00%</c:formatCode>
                <c:ptCount val="3"/>
                <c:pt idx="0" formatCode="0%">
                  <c:v>5.5599999999999997E-2</c:v>
                </c:pt>
                <c:pt idx="1">
                  <c:v>0.5</c:v>
                </c:pt>
                <c:pt idx="2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zadovoljavajuće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EN</c:v>
                </c:pt>
                <c:pt idx="1">
                  <c:v>FR</c:v>
                </c:pt>
                <c:pt idx="2">
                  <c:v>HR</c:v>
                </c:pt>
              </c:strCache>
            </c:strRef>
          </c:cat>
          <c:val>
            <c:numRef>
              <c:f>List1!$C$2:$C$4</c:f>
              <c:numCache>
                <c:formatCode>0.00%</c:formatCode>
                <c:ptCount val="3"/>
                <c:pt idx="0" formatCode="0%">
                  <c:v>0.44440000000000002</c:v>
                </c:pt>
                <c:pt idx="1">
                  <c:v>0.5</c:v>
                </c:pt>
                <c:pt idx="2">
                  <c:v>0.33329999999999999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izvrsno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EN</c:v>
                </c:pt>
                <c:pt idx="1">
                  <c:v>FR</c:v>
                </c:pt>
                <c:pt idx="2">
                  <c:v>HR</c:v>
                </c:pt>
              </c:strCache>
            </c:strRef>
          </c:cat>
          <c:val>
            <c:numRef>
              <c:f>List1!$D$2:$D$4</c:f>
              <c:numCache>
                <c:formatCode>0%</c:formatCode>
                <c:ptCount val="3"/>
                <c:pt idx="0">
                  <c:v>0.5</c:v>
                </c:pt>
                <c:pt idx="1">
                  <c:v>0</c:v>
                </c:pt>
                <c:pt idx="2" formatCode="0.00%">
                  <c:v>0.66669999999999996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1000384"/>
        <c:axId val="411000776"/>
      </c:barChart>
      <c:catAx>
        <c:axId val="411000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1000776"/>
        <c:crosses val="autoZero"/>
        <c:auto val="1"/>
        <c:lblAlgn val="ctr"/>
        <c:lblOffset val="100"/>
        <c:noMultiLvlLbl val="0"/>
      </c:catAx>
      <c:valAx>
        <c:axId val="411000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100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Termin radionice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Svibanj 14-15</c:v>
                </c:pt>
                <c:pt idx="1">
                  <c:v>Svibanj 28-29</c:v>
                </c:pt>
                <c:pt idx="2">
                  <c:v>Lipanj 18-19</c:v>
                </c:pt>
                <c:pt idx="3">
                  <c:v>Svejedno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>
                  <c:v>0.37140000000000001</c:v>
                </c:pt>
                <c:pt idx="1">
                  <c:v>0.2571</c:v>
                </c:pt>
                <c:pt idx="2">
                  <c:v>0</c:v>
                </c:pt>
                <c:pt idx="3">
                  <c:v>0.1143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Možda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Svibanj 14-15</c:v>
                </c:pt>
                <c:pt idx="1">
                  <c:v>Svibanj 28-29</c:v>
                </c:pt>
                <c:pt idx="2">
                  <c:v>Lipanj 18-19</c:v>
                </c:pt>
                <c:pt idx="3">
                  <c:v>Svejedno</c:v>
                </c:pt>
              </c:strCache>
            </c:strRef>
          </c:cat>
          <c:val>
            <c:numRef>
              <c:f>List1!$C$2:$C$5</c:f>
              <c:numCache>
                <c:formatCode>0.00%</c:formatCode>
                <c:ptCount val="4"/>
                <c:pt idx="0">
                  <c:v>2.86E-2</c:v>
                </c:pt>
                <c:pt idx="1">
                  <c:v>5.7099999999999998E-2</c:v>
                </c:pt>
                <c:pt idx="2">
                  <c:v>0</c:v>
                </c:pt>
                <c:pt idx="3">
                  <c:v>0.1143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Svibanj 14-15</c:v>
                </c:pt>
                <c:pt idx="1">
                  <c:v>Svibanj 28-29</c:v>
                </c:pt>
                <c:pt idx="2">
                  <c:v>Lipanj 18-19</c:v>
                </c:pt>
                <c:pt idx="3">
                  <c:v>Svejedno</c:v>
                </c:pt>
              </c:strCache>
            </c:strRef>
          </c:cat>
          <c:val>
            <c:numRef>
              <c:f>List1!$D$2:$D$5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5.7099999999999998E-2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1001560"/>
        <c:axId val="411001952"/>
      </c:barChart>
      <c:catAx>
        <c:axId val="411001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1001952"/>
        <c:crosses val="autoZero"/>
        <c:auto val="1"/>
        <c:lblAlgn val="ctr"/>
        <c:lblOffset val="100"/>
        <c:noMultiLvlLbl val="0"/>
      </c:catAx>
      <c:valAx>
        <c:axId val="411001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1001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Fokus</a:t>
            </a:r>
            <a:r>
              <a:rPr lang="hr-HR" b="1" baseline="0">
                <a:solidFill>
                  <a:sysClr val="windowText" lastClr="000000"/>
                </a:solidFill>
              </a:rPr>
              <a:t> radionice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List1!$A$2:$A$6</c:f>
              <c:strCache>
                <c:ptCount val="5"/>
                <c:pt idx="0">
                  <c:v>termini TP i prava društava</c:v>
                </c:pt>
                <c:pt idx="1">
                  <c:v>ugovorno pravo i OO</c:v>
                </c:pt>
                <c:pt idx="2">
                  <c:v>razlike u pravnim stečevinama</c:v>
                </c:pt>
                <c:pt idx="3">
                  <c:v>lažni prijatelji</c:v>
                </c:pt>
                <c:pt idx="4">
                  <c:v>nešto drugo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0.35289999999999999</c:v>
                </c:pt>
                <c:pt idx="1">
                  <c:v>0.23530000000000001</c:v>
                </c:pt>
                <c:pt idx="2">
                  <c:v>0.17649999999999999</c:v>
                </c:pt>
                <c:pt idx="3">
                  <c:v>0.14710000000000001</c:v>
                </c:pt>
                <c:pt idx="4">
                  <c:v>8.8200000000000001E-2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HSUST</dc:creator>
  <cp:keywords/>
  <dc:description/>
  <cp:lastModifiedBy>Gabriela</cp:lastModifiedBy>
  <cp:revision>2</cp:revision>
  <dcterms:created xsi:type="dcterms:W3CDTF">2016-08-02T08:47:00Z</dcterms:created>
  <dcterms:modified xsi:type="dcterms:W3CDTF">2016-08-02T08:47:00Z</dcterms:modified>
</cp:coreProperties>
</file>